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840" w:rsidRPr="00645840" w:rsidRDefault="00645840" w:rsidP="00645840">
      <w:pPr>
        <w:rPr>
          <w:rFonts w:eastAsia="Times New Roman" w:cs="Times New Roman"/>
        </w:rPr>
      </w:pPr>
      <w:r w:rsidRPr="00645840">
        <w:rPr>
          <w:rFonts w:eastAsia="Times New Roman" w:cs="Times New Roman"/>
        </w:rPr>
        <w:t>Credit for Previous College Coursework</w:t>
      </w:r>
    </w:p>
    <w:p w:rsidR="00645840" w:rsidRPr="00645840" w:rsidRDefault="00645840" w:rsidP="00645840">
      <w:pPr>
        <w:rPr>
          <w:rFonts w:eastAsia="Times New Roman" w:cs="Times New Roman"/>
        </w:rPr>
      </w:pPr>
      <w:r w:rsidRPr="00645840">
        <w:rPr>
          <w:rFonts w:eastAsia="Times New Roman" w:cs="Times New Roman"/>
        </w:rPr>
        <w:t>An applicant seeking to transfer credit from another institution must request a credit evaluation prior to beginning the first class at DeVry and must provide an official transcript from the institution where the credit was earned. DeVry may require a catalog or additional material or, if credits were earned at a foreign institution, a credit evaluation by an approved external evaluation service. A maximum of 80 DeVry credit hours may be awarded for lower-division or community college courses. In Oregon, a maximum of 50 percent of a baccalaureate program’s credit hours may be transferred from institutions not offering baccalaureate degrees. Transfer credit maximums are also subject to DeVry’s residency requirement for the chosen program. Students attending DeVry who seek to earn credit at another institution for transfer to DeVry must have approval to do so in advance from a DeVry academic administrator. Students may request a transcript evaluation via www.devry.edu/admissions/transfer-students.jsp. Additionally, DeVry admissions advisors, student success coaches and academic advisors are available to assist students with transfer credit evaluation requests.</w:t>
      </w:r>
    </w:p>
    <w:p w:rsidR="00645840" w:rsidRPr="00645840" w:rsidRDefault="00645840" w:rsidP="00645840">
      <w:pPr>
        <w:rPr>
          <w:rFonts w:eastAsia="Times New Roman" w:cs="Times New Roman"/>
        </w:rPr>
      </w:pPr>
      <w:r w:rsidRPr="00645840">
        <w:rPr>
          <w:rFonts w:eastAsia="Times New Roman" w:cs="Times New Roman"/>
        </w:rPr>
        <w:t>Credit for Military Coursework and Training Experience</w:t>
      </w:r>
    </w:p>
    <w:p w:rsidR="00645840" w:rsidRPr="00645840" w:rsidRDefault="00645840" w:rsidP="00645840">
      <w:pPr>
        <w:rPr>
          <w:rFonts w:eastAsia="Times New Roman" w:cs="Times New Roman"/>
        </w:rPr>
      </w:pPr>
      <w:r w:rsidRPr="00645840">
        <w:rPr>
          <w:rFonts w:eastAsia="Times New Roman" w:cs="Times New Roman"/>
        </w:rPr>
        <w:t>DeVry University is a member of the Servicemembers Opportunity Colleges (SOC) consortium. SOC consortium colleges and universities subscribe to principles and criteria to ensure quality academic programs are available to active-duty-military students and their families, as well as to veterans. A list of consortium member institutions is available via www.soc.aascu.org.</w:t>
      </w:r>
    </w:p>
    <w:p w:rsidR="008C5C73" w:rsidRDefault="00645840" w:rsidP="00645840">
      <w:pPr>
        <w:rPr>
          <w:rFonts w:eastAsia="Times New Roman" w:cs="Times New Roman"/>
        </w:rPr>
      </w:pPr>
      <w:r w:rsidRPr="00645840">
        <w:rPr>
          <w:rFonts w:eastAsia="Times New Roman" w:cs="Times New Roman"/>
        </w:rPr>
        <w:t>The University is also a member of the SOC Degree Network System (DNS), a subgroup of SOC consortium member institutions selected by the military services to deliver specific associate and bachelor’s degree programs. As a member of the DNS, the University adheres to academic policies intended to support military students in their academic endeavors toward degree completion. DeVry University is approved for membership in the SOC DNS for the:</w:t>
      </w:r>
    </w:p>
    <w:p w:rsidR="00645840" w:rsidRDefault="00645840" w:rsidP="00645840">
      <w:r>
        <w:t>•</w:t>
      </w:r>
      <w:r>
        <w:tab/>
        <w:t xml:space="preserve"> Coast Guard (SOCCOAST), at the associate and bachelor’s degree levels </w:t>
      </w:r>
    </w:p>
    <w:p w:rsidR="00645840" w:rsidRDefault="00645840" w:rsidP="00645840">
      <w:r>
        <w:t>•</w:t>
      </w:r>
      <w:r>
        <w:tab/>
        <w:t xml:space="preserve"> Navy (SOCNAV), at the bachelor’s degree level</w:t>
      </w:r>
    </w:p>
    <w:p w:rsidR="00645840" w:rsidRDefault="00645840" w:rsidP="00645840">
      <w:r>
        <w:t>•</w:t>
      </w:r>
      <w:r>
        <w:tab/>
        <w:t xml:space="preserve"> Marine Corps (SOCMAR), at the bachelor’s degree level</w:t>
      </w:r>
    </w:p>
    <w:p w:rsidR="00645840" w:rsidRDefault="00645840" w:rsidP="00645840">
      <w:r>
        <w:t>DeVry’s approval for membership in the DNS applies to specific academic programs.</w:t>
      </w:r>
    </w:p>
    <w:p w:rsidR="00645840" w:rsidRDefault="00645840" w:rsidP="00645840">
      <w:r>
        <w:t>Military coursework and educational experiences are evaluated based on American Council on Education (ACE) recommendations, which may indicate that military coursework and educational experiences qualify for either transfer credit or proficiency credit. Additional information on work force and military training recommendations is available via the National Guide to College Credit for Workforce Training and the ACE Military Guide Online, respectively.</w:t>
      </w:r>
    </w:p>
    <w:p w:rsidR="00645840" w:rsidRDefault="00645840" w:rsidP="00645840">
      <w:r>
        <w:t>Additional information on credit for military coursework and training experience is available from DeVry admissions advisors.</w:t>
      </w:r>
    </w:p>
    <w:p w:rsidR="00645840" w:rsidRDefault="00645840" w:rsidP="00645840">
      <w:r>
        <w:lastRenderedPageBreak/>
        <w:t>Credit for Professional Certifications and Training</w:t>
      </w:r>
    </w:p>
    <w:p w:rsidR="00645840" w:rsidRDefault="00645840" w:rsidP="00645840">
      <w:r>
        <w:t xml:space="preserve">As appropriate, DeVry applies proficiency credit for professional certifications and training toward students’ degree-completion requirements. To determine appropriate application of proficiency credit, DeVry uses guidelines established by the American Council on Education (ACE). The University does not accept courses completed at the vocational level. Certain restrictions apply. </w:t>
      </w:r>
    </w:p>
    <w:p w:rsidR="00645840" w:rsidRDefault="00645840" w:rsidP="00645840">
      <w:r>
        <w:t>Students may be eligible for proficiency credit if they hold current, specific industry-recognized professional licenses or certificates such as, but not limited to:</w:t>
      </w:r>
    </w:p>
    <w:p w:rsidR="00645840" w:rsidRDefault="00645840" w:rsidP="00645840">
      <w:r>
        <w:t>•</w:t>
      </w:r>
      <w:r>
        <w:tab/>
        <w:t xml:space="preserve"> Certain Cisco certifications </w:t>
      </w:r>
    </w:p>
    <w:p w:rsidR="00645840" w:rsidRDefault="00645840" w:rsidP="00645840">
      <w:r>
        <w:t>•</w:t>
      </w:r>
      <w:r>
        <w:tab/>
        <w:t xml:space="preserve"> Certain CompTIA certifications</w:t>
      </w:r>
    </w:p>
    <w:p w:rsidR="00645840" w:rsidRDefault="00645840" w:rsidP="00645840">
      <w:r>
        <w:t>•</w:t>
      </w:r>
      <w:r>
        <w:tab/>
        <w:t xml:space="preserve"> Microsoft Certified Systems Engineer (MCSE)</w:t>
      </w:r>
    </w:p>
    <w:p w:rsidR="00645840" w:rsidRDefault="00645840" w:rsidP="00645840">
      <w:r>
        <w:t>•</w:t>
      </w:r>
      <w:r>
        <w:tab/>
        <w:t xml:space="preserve"> Microsoft Certified IT Professional (MCITP)</w:t>
      </w:r>
    </w:p>
    <w:p w:rsidR="00645840" w:rsidRDefault="00645840" w:rsidP="00645840">
      <w:r>
        <w:t>•</w:t>
      </w:r>
      <w:r>
        <w:tab/>
        <w:t xml:space="preserve"> RHIT Certification</w:t>
      </w:r>
    </w:p>
    <w:p w:rsidR="00645840" w:rsidRDefault="00645840" w:rsidP="00645840">
      <w:r>
        <w:t>Students may also be eligible for proficiency credit if they have successfully completed certain specialized training such as Cisco Networking Academy coursework.</w:t>
      </w:r>
    </w:p>
    <w:p w:rsidR="00645840" w:rsidRDefault="00645840" w:rsidP="00645840">
      <w:r>
        <w:t>Documentation of certifications and licenses must be provided and validated prior to students’ transfer credit evaluations. DeVry admissions advisors, student success coaches and academic advisors are available to assist students in this process.</w:t>
      </w:r>
    </w:p>
    <w:p w:rsidR="00645840" w:rsidRDefault="00645840" w:rsidP="00645840">
      <w:r>
        <w:t>Credit by Examination</w:t>
      </w:r>
    </w:p>
    <w:p w:rsidR="00645840" w:rsidRDefault="00645840" w:rsidP="00645840">
      <w:r>
        <w:t>Students may earn proficiency credit for a course by successfully completing one of the following:</w:t>
      </w:r>
    </w:p>
    <w:p w:rsidR="00645840" w:rsidRDefault="00645840" w:rsidP="00645840">
      <w:r>
        <w:t xml:space="preserve">DeVry University Challenge Exam: Students who feel course material has been mastered, either through coursework completed outside DeVry for which transfer credit cannot be given or through self-study, may request a challenge exam for the course, provided they have never been enrolled in the course at DeVry and have not previously attempted the challenge exam. </w:t>
      </w:r>
    </w:p>
    <w:p w:rsidR="00645840" w:rsidRDefault="00645840" w:rsidP="00645840">
      <w:r>
        <w:t xml:space="preserve">External Standardized Exam: Students may qualify to receive proficiency credit for a course by successfully completing a nationally recognized exam such as: </w:t>
      </w:r>
    </w:p>
    <w:p w:rsidR="00645840" w:rsidRDefault="00645840" w:rsidP="00645840">
      <w:r>
        <w:t>•</w:t>
      </w:r>
      <w:r>
        <w:tab/>
        <w:t xml:space="preserve"> Advanced Placement (AP) test</w:t>
      </w:r>
    </w:p>
    <w:p w:rsidR="00645840" w:rsidRDefault="00645840" w:rsidP="00645840">
      <w:r>
        <w:t>•</w:t>
      </w:r>
      <w:r>
        <w:tab/>
        <w:t xml:space="preserve"> College Level Examination Program (CLEP) test</w:t>
      </w:r>
    </w:p>
    <w:p w:rsidR="00645840" w:rsidRDefault="00645840" w:rsidP="00645840">
      <w:r>
        <w:t>•</w:t>
      </w:r>
      <w:r>
        <w:tab/>
        <w:t xml:space="preserve"> DANTES Subject Standardized Test (DSST)</w:t>
      </w:r>
    </w:p>
    <w:p w:rsidR="00645840" w:rsidRDefault="00645840" w:rsidP="00645840">
      <w:r>
        <w:t>•</w:t>
      </w:r>
      <w:r>
        <w:tab/>
        <w:t>International Baccalaureate (IB) exam</w:t>
      </w:r>
    </w:p>
    <w:p w:rsidR="00645840" w:rsidRDefault="00645840" w:rsidP="00645840">
      <w:r>
        <w:t>•</w:t>
      </w:r>
      <w:r>
        <w:tab/>
        <w:t xml:space="preserve"> American Health Information Management Association (AHIMA) course or exam</w:t>
      </w:r>
    </w:p>
    <w:p w:rsidR="00645840" w:rsidRDefault="00645840" w:rsidP="00645840">
      <w:r>
        <w:lastRenderedPageBreak/>
        <w:t>Detailed information on applicability of these external standardized exams to students’ programs is available at www.devry.edu/admissions/transfer-students.jsp.</w:t>
      </w:r>
    </w:p>
    <w:p w:rsidR="00645840" w:rsidRDefault="00645840" w:rsidP="00645840">
      <w:r>
        <w:t>Prior-Learning Credit – Veterans</w:t>
      </w:r>
    </w:p>
    <w:p w:rsidR="00645840" w:rsidRDefault="00645840" w:rsidP="00645840">
      <w:r>
        <w:t>Students using veteran’s benefits are required to submit official transcripts of all previous education and training to DeVry University.</w:t>
      </w:r>
    </w:p>
    <w:p w:rsidR="00645840" w:rsidRPr="00645840" w:rsidRDefault="00645840" w:rsidP="00645840">
      <w:r>
        <w:t>DeVry maintains a written record of previous undergraduate and graduate education completed by veterans and all persons eligible for veteran’s benefits. A copy of official transcripts used to evaluate transfer credit is maintained in each student’s permanent record. This record, required for transfer-credit review, clearly indicates when appropriate transfer credit has been given. Veterans enrolled in a DeVry University course for which credit has already been earned at a University-recognized institution cannot include that course in the total hours reported to the U.S. Department of Veterans Affairs. It is the student’s responsibility to be aware of prior credit eligible for transfer.</w:t>
      </w:r>
    </w:p>
    <w:sectPr w:rsidR="00645840" w:rsidRPr="00645840" w:rsidSect="0055319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B2499D"/>
    <w:rsid w:val="002E61C7"/>
    <w:rsid w:val="00553191"/>
    <w:rsid w:val="00645840"/>
    <w:rsid w:val="008C5C73"/>
    <w:rsid w:val="00B2499D"/>
    <w:rsid w:val="00E973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1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499D"/>
    <w:rPr>
      <w:color w:val="0000FF"/>
      <w:u w:val="single"/>
    </w:rPr>
  </w:style>
</w:styles>
</file>

<file path=word/webSettings.xml><?xml version="1.0" encoding="utf-8"?>
<w:webSettings xmlns:r="http://schemas.openxmlformats.org/officeDocument/2006/relationships" xmlns:w="http://schemas.openxmlformats.org/wordprocessingml/2006/main">
  <w:divs>
    <w:div w:id="51001365">
      <w:bodyDiv w:val="1"/>
      <w:marLeft w:val="0"/>
      <w:marRight w:val="0"/>
      <w:marTop w:val="0"/>
      <w:marBottom w:val="0"/>
      <w:divBdr>
        <w:top w:val="none" w:sz="0" w:space="0" w:color="auto"/>
        <w:left w:val="none" w:sz="0" w:space="0" w:color="auto"/>
        <w:bottom w:val="none" w:sz="0" w:space="0" w:color="auto"/>
        <w:right w:val="none" w:sz="0" w:space="0" w:color="auto"/>
      </w:divBdr>
      <w:divsChild>
        <w:div w:id="704599317">
          <w:marLeft w:val="0"/>
          <w:marRight w:val="0"/>
          <w:marTop w:val="0"/>
          <w:marBottom w:val="0"/>
          <w:divBdr>
            <w:top w:val="none" w:sz="0" w:space="0" w:color="auto"/>
            <w:left w:val="none" w:sz="0" w:space="0" w:color="auto"/>
            <w:bottom w:val="none" w:sz="0" w:space="0" w:color="auto"/>
            <w:right w:val="none" w:sz="0" w:space="0" w:color="auto"/>
          </w:divBdr>
        </w:div>
        <w:div w:id="805468490">
          <w:marLeft w:val="0"/>
          <w:marRight w:val="0"/>
          <w:marTop w:val="0"/>
          <w:marBottom w:val="0"/>
          <w:divBdr>
            <w:top w:val="none" w:sz="0" w:space="0" w:color="auto"/>
            <w:left w:val="none" w:sz="0" w:space="0" w:color="auto"/>
            <w:bottom w:val="none" w:sz="0" w:space="0" w:color="auto"/>
            <w:right w:val="none" w:sz="0" w:space="0" w:color="auto"/>
          </w:divBdr>
        </w:div>
        <w:div w:id="752507770">
          <w:marLeft w:val="0"/>
          <w:marRight w:val="0"/>
          <w:marTop w:val="0"/>
          <w:marBottom w:val="0"/>
          <w:divBdr>
            <w:top w:val="none" w:sz="0" w:space="0" w:color="auto"/>
            <w:left w:val="none" w:sz="0" w:space="0" w:color="auto"/>
            <w:bottom w:val="none" w:sz="0" w:space="0" w:color="auto"/>
            <w:right w:val="none" w:sz="0" w:space="0" w:color="auto"/>
          </w:divBdr>
        </w:div>
        <w:div w:id="2140873001">
          <w:marLeft w:val="0"/>
          <w:marRight w:val="0"/>
          <w:marTop w:val="0"/>
          <w:marBottom w:val="0"/>
          <w:divBdr>
            <w:top w:val="none" w:sz="0" w:space="0" w:color="auto"/>
            <w:left w:val="none" w:sz="0" w:space="0" w:color="auto"/>
            <w:bottom w:val="none" w:sz="0" w:space="0" w:color="auto"/>
            <w:right w:val="none" w:sz="0" w:space="0" w:color="auto"/>
          </w:divBdr>
        </w:div>
        <w:div w:id="1009673163">
          <w:marLeft w:val="0"/>
          <w:marRight w:val="0"/>
          <w:marTop w:val="0"/>
          <w:marBottom w:val="0"/>
          <w:divBdr>
            <w:top w:val="none" w:sz="0" w:space="0" w:color="auto"/>
            <w:left w:val="none" w:sz="0" w:space="0" w:color="auto"/>
            <w:bottom w:val="none" w:sz="0" w:space="0" w:color="auto"/>
            <w:right w:val="none" w:sz="0" w:space="0" w:color="auto"/>
          </w:divBdr>
        </w:div>
        <w:div w:id="173306932">
          <w:marLeft w:val="0"/>
          <w:marRight w:val="0"/>
          <w:marTop w:val="0"/>
          <w:marBottom w:val="0"/>
          <w:divBdr>
            <w:top w:val="none" w:sz="0" w:space="0" w:color="auto"/>
            <w:left w:val="none" w:sz="0" w:space="0" w:color="auto"/>
            <w:bottom w:val="none" w:sz="0" w:space="0" w:color="auto"/>
            <w:right w:val="none" w:sz="0" w:space="0" w:color="auto"/>
          </w:divBdr>
        </w:div>
        <w:div w:id="425157635">
          <w:marLeft w:val="0"/>
          <w:marRight w:val="0"/>
          <w:marTop w:val="0"/>
          <w:marBottom w:val="0"/>
          <w:divBdr>
            <w:top w:val="none" w:sz="0" w:space="0" w:color="auto"/>
            <w:left w:val="none" w:sz="0" w:space="0" w:color="auto"/>
            <w:bottom w:val="none" w:sz="0" w:space="0" w:color="auto"/>
            <w:right w:val="none" w:sz="0" w:space="0" w:color="auto"/>
          </w:divBdr>
        </w:div>
        <w:div w:id="1539663502">
          <w:marLeft w:val="0"/>
          <w:marRight w:val="0"/>
          <w:marTop w:val="0"/>
          <w:marBottom w:val="0"/>
          <w:divBdr>
            <w:top w:val="none" w:sz="0" w:space="0" w:color="auto"/>
            <w:left w:val="none" w:sz="0" w:space="0" w:color="auto"/>
            <w:bottom w:val="none" w:sz="0" w:space="0" w:color="auto"/>
            <w:right w:val="none" w:sz="0" w:space="0" w:color="auto"/>
          </w:divBdr>
        </w:div>
        <w:div w:id="2124230274">
          <w:marLeft w:val="0"/>
          <w:marRight w:val="0"/>
          <w:marTop w:val="0"/>
          <w:marBottom w:val="0"/>
          <w:divBdr>
            <w:top w:val="none" w:sz="0" w:space="0" w:color="auto"/>
            <w:left w:val="none" w:sz="0" w:space="0" w:color="auto"/>
            <w:bottom w:val="none" w:sz="0" w:space="0" w:color="auto"/>
            <w:right w:val="none" w:sz="0" w:space="0" w:color="auto"/>
          </w:divBdr>
        </w:div>
        <w:div w:id="1091970441">
          <w:marLeft w:val="0"/>
          <w:marRight w:val="0"/>
          <w:marTop w:val="0"/>
          <w:marBottom w:val="0"/>
          <w:divBdr>
            <w:top w:val="none" w:sz="0" w:space="0" w:color="auto"/>
            <w:left w:val="none" w:sz="0" w:space="0" w:color="auto"/>
            <w:bottom w:val="none" w:sz="0" w:space="0" w:color="auto"/>
            <w:right w:val="none" w:sz="0" w:space="0" w:color="auto"/>
          </w:divBdr>
        </w:div>
        <w:div w:id="63919348">
          <w:marLeft w:val="0"/>
          <w:marRight w:val="0"/>
          <w:marTop w:val="0"/>
          <w:marBottom w:val="0"/>
          <w:divBdr>
            <w:top w:val="none" w:sz="0" w:space="0" w:color="auto"/>
            <w:left w:val="none" w:sz="0" w:space="0" w:color="auto"/>
            <w:bottom w:val="none" w:sz="0" w:space="0" w:color="auto"/>
            <w:right w:val="none" w:sz="0" w:space="0" w:color="auto"/>
          </w:divBdr>
        </w:div>
        <w:div w:id="1045451352">
          <w:marLeft w:val="0"/>
          <w:marRight w:val="0"/>
          <w:marTop w:val="0"/>
          <w:marBottom w:val="0"/>
          <w:divBdr>
            <w:top w:val="none" w:sz="0" w:space="0" w:color="auto"/>
            <w:left w:val="none" w:sz="0" w:space="0" w:color="auto"/>
            <w:bottom w:val="none" w:sz="0" w:space="0" w:color="auto"/>
            <w:right w:val="none" w:sz="0" w:space="0" w:color="auto"/>
          </w:divBdr>
        </w:div>
        <w:div w:id="264189131">
          <w:marLeft w:val="0"/>
          <w:marRight w:val="0"/>
          <w:marTop w:val="0"/>
          <w:marBottom w:val="0"/>
          <w:divBdr>
            <w:top w:val="none" w:sz="0" w:space="0" w:color="auto"/>
            <w:left w:val="none" w:sz="0" w:space="0" w:color="auto"/>
            <w:bottom w:val="none" w:sz="0" w:space="0" w:color="auto"/>
            <w:right w:val="none" w:sz="0" w:space="0" w:color="auto"/>
          </w:divBdr>
        </w:div>
        <w:div w:id="1872498888">
          <w:marLeft w:val="0"/>
          <w:marRight w:val="0"/>
          <w:marTop w:val="0"/>
          <w:marBottom w:val="0"/>
          <w:divBdr>
            <w:top w:val="none" w:sz="0" w:space="0" w:color="auto"/>
            <w:left w:val="none" w:sz="0" w:space="0" w:color="auto"/>
            <w:bottom w:val="none" w:sz="0" w:space="0" w:color="auto"/>
            <w:right w:val="none" w:sz="0" w:space="0" w:color="auto"/>
          </w:divBdr>
        </w:div>
        <w:div w:id="1489127675">
          <w:marLeft w:val="0"/>
          <w:marRight w:val="0"/>
          <w:marTop w:val="0"/>
          <w:marBottom w:val="0"/>
          <w:divBdr>
            <w:top w:val="none" w:sz="0" w:space="0" w:color="auto"/>
            <w:left w:val="none" w:sz="0" w:space="0" w:color="auto"/>
            <w:bottom w:val="none" w:sz="0" w:space="0" w:color="auto"/>
            <w:right w:val="none" w:sz="0" w:space="0" w:color="auto"/>
          </w:divBdr>
        </w:div>
        <w:div w:id="1603339326">
          <w:marLeft w:val="0"/>
          <w:marRight w:val="0"/>
          <w:marTop w:val="0"/>
          <w:marBottom w:val="0"/>
          <w:divBdr>
            <w:top w:val="none" w:sz="0" w:space="0" w:color="auto"/>
            <w:left w:val="none" w:sz="0" w:space="0" w:color="auto"/>
            <w:bottom w:val="none" w:sz="0" w:space="0" w:color="auto"/>
            <w:right w:val="none" w:sz="0" w:space="0" w:color="auto"/>
          </w:divBdr>
        </w:div>
        <w:div w:id="1213348342">
          <w:marLeft w:val="0"/>
          <w:marRight w:val="0"/>
          <w:marTop w:val="0"/>
          <w:marBottom w:val="0"/>
          <w:divBdr>
            <w:top w:val="none" w:sz="0" w:space="0" w:color="auto"/>
            <w:left w:val="none" w:sz="0" w:space="0" w:color="auto"/>
            <w:bottom w:val="none" w:sz="0" w:space="0" w:color="auto"/>
            <w:right w:val="none" w:sz="0" w:space="0" w:color="auto"/>
          </w:divBdr>
        </w:div>
        <w:div w:id="635917394">
          <w:marLeft w:val="0"/>
          <w:marRight w:val="0"/>
          <w:marTop w:val="0"/>
          <w:marBottom w:val="0"/>
          <w:divBdr>
            <w:top w:val="none" w:sz="0" w:space="0" w:color="auto"/>
            <w:left w:val="none" w:sz="0" w:space="0" w:color="auto"/>
            <w:bottom w:val="none" w:sz="0" w:space="0" w:color="auto"/>
            <w:right w:val="none" w:sz="0" w:space="0" w:color="auto"/>
          </w:divBdr>
        </w:div>
        <w:div w:id="1612400064">
          <w:marLeft w:val="0"/>
          <w:marRight w:val="0"/>
          <w:marTop w:val="0"/>
          <w:marBottom w:val="0"/>
          <w:divBdr>
            <w:top w:val="none" w:sz="0" w:space="0" w:color="auto"/>
            <w:left w:val="none" w:sz="0" w:space="0" w:color="auto"/>
            <w:bottom w:val="none" w:sz="0" w:space="0" w:color="auto"/>
            <w:right w:val="none" w:sz="0" w:space="0" w:color="auto"/>
          </w:divBdr>
        </w:div>
        <w:div w:id="1979262727">
          <w:marLeft w:val="0"/>
          <w:marRight w:val="0"/>
          <w:marTop w:val="0"/>
          <w:marBottom w:val="0"/>
          <w:divBdr>
            <w:top w:val="none" w:sz="0" w:space="0" w:color="auto"/>
            <w:left w:val="none" w:sz="0" w:space="0" w:color="auto"/>
            <w:bottom w:val="none" w:sz="0" w:space="0" w:color="auto"/>
            <w:right w:val="none" w:sz="0" w:space="0" w:color="auto"/>
          </w:divBdr>
        </w:div>
        <w:div w:id="978341463">
          <w:marLeft w:val="0"/>
          <w:marRight w:val="0"/>
          <w:marTop w:val="0"/>
          <w:marBottom w:val="0"/>
          <w:divBdr>
            <w:top w:val="none" w:sz="0" w:space="0" w:color="auto"/>
            <w:left w:val="none" w:sz="0" w:space="0" w:color="auto"/>
            <w:bottom w:val="none" w:sz="0" w:space="0" w:color="auto"/>
            <w:right w:val="none" w:sz="0" w:space="0" w:color="auto"/>
          </w:divBdr>
        </w:div>
        <w:div w:id="84035532">
          <w:marLeft w:val="0"/>
          <w:marRight w:val="0"/>
          <w:marTop w:val="0"/>
          <w:marBottom w:val="0"/>
          <w:divBdr>
            <w:top w:val="none" w:sz="0" w:space="0" w:color="auto"/>
            <w:left w:val="none" w:sz="0" w:space="0" w:color="auto"/>
            <w:bottom w:val="none" w:sz="0" w:space="0" w:color="auto"/>
            <w:right w:val="none" w:sz="0" w:space="0" w:color="auto"/>
          </w:divBdr>
        </w:div>
        <w:div w:id="61220420">
          <w:marLeft w:val="0"/>
          <w:marRight w:val="0"/>
          <w:marTop w:val="0"/>
          <w:marBottom w:val="0"/>
          <w:divBdr>
            <w:top w:val="none" w:sz="0" w:space="0" w:color="auto"/>
            <w:left w:val="none" w:sz="0" w:space="0" w:color="auto"/>
            <w:bottom w:val="none" w:sz="0" w:space="0" w:color="auto"/>
            <w:right w:val="none" w:sz="0" w:space="0" w:color="auto"/>
          </w:divBdr>
        </w:div>
        <w:div w:id="152067205">
          <w:marLeft w:val="0"/>
          <w:marRight w:val="0"/>
          <w:marTop w:val="0"/>
          <w:marBottom w:val="0"/>
          <w:divBdr>
            <w:top w:val="none" w:sz="0" w:space="0" w:color="auto"/>
            <w:left w:val="none" w:sz="0" w:space="0" w:color="auto"/>
            <w:bottom w:val="none" w:sz="0" w:space="0" w:color="auto"/>
            <w:right w:val="none" w:sz="0" w:space="0" w:color="auto"/>
          </w:divBdr>
        </w:div>
        <w:div w:id="157231270">
          <w:marLeft w:val="0"/>
          <w:marRight w:val="0"/>
          <w:marTop w:val="0"/>
          <w:marBottom w:val="0"/>
          <w:divBdr>
            <w:top w:val="none" w:sz="0" w:space="0" w:color="auto"/>
            <w:left w:val="none" w:sz="0" w:space="0" w:color="auto"/>
            <w:bottom w:val="none" w:sz="0" w:space="0" w:color="auto"/>
            <w:right w:val="none" w:sz="0" w:space="0" w:color="auto"/>
          </w:divBdr>
        </w:div>
        <w:div w:id="2040937207">
          <w:marLeft w:val="0"/>
          <w:marRight w:val="0"/>
          <w:marTop w:val="0"/>
          <w:marBottom w:val="0"/>
          <w:divBdr>
            <w:top w:val="none" w:sz="0" w:space="0" w:color="auto"/>
            <w:left w:val="none" w:sz="0" w:space="0" w:color="auto"/>
            <w:bottom w:val="none" w:sz="0" w:space="0" w:color="auto"/>
            <w:right w:val="none" w:sz="0" w:space="0" w:color="auto"/>
          </w:divBdr>
        </w:div>
        <w:div w:id="563876362">
          <w:marLeft w:val="0"/>
          <w:marRight w:val="0"/>
          <w:marTop w:val="0"/>
          <w:marBottom w:val="0"/>
          <w:divBdr>
            <w:top w:val="none" w:sz="0" w:space="0" w:color="auto"/>
            <w:left w:val="none" w:sz="0" w:space="0" w:color="auto"/>
            <w:bottom w:val="none" w:sz="0" w:space="0" w:color="auto"/>
            <w:right w:val="none" w:sz="0" w:space="0" w:color="auto"/>
          </w:divBdr>
        </w:div>
        <w:div w:id="126165690">
          <w:marLeft w:val="0"/>
          <w:marRight w:val="0"/>
          <w:marTop w:val="0"/>
          <w:marBottom w:val="0"/>
          <w:divBdr>
            <w:top w:val="none" w:sz="0" w:space="0" w:color="auto"/>
            <w:left w:val="none" w:sz="0" w:space="0" w:color="auto"/>
            <w:bottom w:val="none" w:sz="0" w:space="0" w:color="auto"/>
            <w:right w:val="none" w:sz="0" w:space="0" w:color="auto"/>
          </w:divBdr>
        </w:div>
        <w:div w:id="1418286621">
          <w:marLeft w:val="0"/>
          <w:marRight w:val="0"/>
          <w:marTop w:val="0"/>
          <w:marBottom w:val="0"/>
          <w:divBdr>
            <w:top w:val="none" w:sz="0" w:space="0" w:color="auto"/>
            <w:left w:val="none" w:sz="0" w:space="0" w:color="auto"/>
            <w:bottom w:val="none" w:sz="0" w:space="0" w:color="auto"/>
            <w:right w:val="none" w:sz="0" w:space="0" w:color="auto"/>
          </w:divBdr>
        </w:div>
        <w:div w:id="804203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901</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Brown</dc:creator>
  <cp:lastModifiedBy>Michele Brown</cp:lastModifiedBy>
  <cp:revision>1</cp:revision>
  <cp:lastPrinted>2012-11-21T15:36:00Z</cp:lastPrinted>
  <dcterms:created xsi:type="dcterms:W3CDTF">2012-11-20T19:35:00Z</dcterms:created>
  <dcterms:modified xsi:type="dcterms:W3CDTF">2012-11-21T17:29:00Z</dcterms:modified>
</cp:coreProperties>
</file>